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3F" w:rsidRPr="00B3083F" w:rsidRDefault="00B3083F" w:rsidP="00B3083F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08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Письмо </w:t>
      </w:r>
    </w:p>
    <w:p w:rsidR="00B3083F" w:rsidRPr="00B3083F" w:rsidRDefault="00B3083F" w:rsidP="00B3083F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08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Министерства образования и науки РФ </w:t>
      </w:r>
    </w:p>
    <w:p w:rsidR="00B3083F" w:rsidRPr="00B3083F" w:rsidRDefault="00B3083F" w:rsidP="00B3083F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08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 8 августа 2013 г. № 08-1063 </w:t>
      </w:r>
    </w:p>
    <w:p w:rsidR="00B3083F" w:rsidRPr="00B3083F" w:rsidRDefault="00B3083F" w:rsidP="00B3083F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08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“О рекомендациях по порядку комплектования дошкольных образовательных учреждений”</w:t>
      </w:r>
    </w:p>
    <w:p w:rsidR="00B3083F" w:rsidRDefault="00B3083F" w:rsidP="00B3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3F" w:rsidRPr="00B3083F" w:rsidRDefault="00B3083F" w:rsidP="00B3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ноября 2013</w:t>
      </w:r>
    </w:p>
    <w:p w:rsidR="00B3083F" w:rsidRDefault="00B3083F" w:rsidP="00B3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</w:p>
    <w:p w:rsidR="00B3083F" w:rsidRPr="00B3083F" w:rsidRDefault="00B3083F" w:rsidP="00B3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Указа Президента Российской Федерации от 7 мая 2012 г. № 599 «О мерах по реализации государственной политики в области образования и науки» 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О.Ю. </w:t>
      </w:r>
      <w:proofErr w:type="spellStart"/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Голодец</w:t>
      </w:r>
      <w:proofErr w:type="spellEnd"/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июля 2013 г., Департамент государственной политики в сфере общего образования </w:t>
      </w:r>
      <w:proofErr w:type="spellStart"/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 </w:t>
      </w:r>
      <w:hyperlink r:id="rId4" w:anchor="1000" w:history="1">
        <w:r w:rsidRPr="00B3083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 году.</w:t>
      </w:r>
    </w:p>
    <w:p w:rsidR="00B3083F" w:rsidRDefault="00B3083F" w:rsidP="00B3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3F" w:rsidRDefault="00B3083F" w:rsidP="00B3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10 л. в 1 экз.</w:t>
      </w:r>
    </w:p>
    <w:p w:rsidR="00B3083F" w:rsidRPr="00B3083F" w:rsidRDefault="00B3083F" w:rsidP="00B30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2796"/>
      </w:tblGrid>
      <w:tr w:rsidR="00B3083F" w:rsidRPr="00B3083F" w:rsidTr="00B3083F">
        <w:tc>
          <w:tcPr>
            <w:tcW w:w="2500" w:type="pct"/>
            <w:hideMark/>
          </w:tcPr>
          <w:p w:rsidR="00B3083F" w:rsidRPr="00B3083F" w:rsidRDefault="00B3083F" w:rsidP="00B3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Pr="00B3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Департамента</w:t>
            </w:r>
          </w:p>
        </w:tc>
        <w:tc>
          <w:tcPr>
            <w:tcW w:w="2500" w:type="pct"/>
            <w:hideMark/>
          </w:tcPr>
          <w:p w:rsidR="00B3083F" w:rsidRPr="00B3083F" w:rsidRDefault="00B3083F" w:rsidP="00B30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3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 </w:t>
            </w:r>
            <w:proofErr w:type="spellStart"/>
            <w:r w:rsidRPr="00B3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Тараданова</w:t>
            </w:r>
            <w:proofErr w:type="spellEnd"/>
          </w:p>
        </w:tc>
      </w:tr>
    </w:tbl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B3083F" w:rsidRPr="00B3083F" w:rsidRDefault="00B3083F" w:rsidP="00B3083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B308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Рекомендации</w:t>
      </w:r>
      <w:r w:rsidRPr="00B3083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  <w:t>по порядку комплектования образовательных учреждений, реализующих основную общеобразовательную программу дошкольного образования</w:t>
      </w:r>
    </w:p>
    <w:p w:rsidR="00B3083F" w:rsidRP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308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Понятийная база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рекомендациях используются следующие понятия: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Учет детей,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 Результатом постановки детей на учет является формирование «электронной очереди» - поименного списка детей, нуждающихся в дошкольном образовании и присмотре и уходе в учреждении и (или) иных формах.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Под очередностью в ДОУ 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 Показатели очередности - это численность детей, входящих в указанный список.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 году (актуальный спрос) и в последующие годы (отложенный спрос), органы государственной власти субъекта Российской Федерации создают единый информационный ресурс (ЕИР), аккумулирующий данные о численности детей, поставленных на учет во всех городских округах (муниципальных районах), расположенных на территории субъекта Российской Федерации.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Под порядком комплектования ДОУ понимается последовательность действий учредителя при формировании контингента воспитанников дошкольных учреждений, осуществляемых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B3083F" w:rsidRP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308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Рекомендации по учету детей, нуждающихся в предоставлении места в ДОУ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Учет осуществляется в целях обеспечения «прозрачности» процедуры приема детей в ДОУ, </w:t>
      </w:r>
      <w:proofErr w:type="spellStart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избежания</w:t>
      </w:r>
      <w:proofErr w:type="spellEnd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осуществляет (ют) уполномоченный (</w:t>
      </w:r>
      <w:proofErr w:type="spellStart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органами местного самоуправления орган (</w:t>
      </w:r>
      <w:proofErr w:type="spellStart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</w:t>
      </w:r>
      <w:proofErr w:type="spellEnd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или организация (</w:t>
      </w:r>
      <w:proofErr w:type="spellStart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</w:t>
      </w:r>
      <w:proofErr w:type="spellEnd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(далее - уполномоченный орган или организация). Учет может производиться на электронном и (или) бумажном носителях с указанием фамилии и имени ребенка, его возраста (числа полных лет), даты </w:t>
      </w: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Учет включает: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погодового</w:t>
      </w:r>
      <w:proofErr w:type="spellEnd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учета детей, нуждающихся в предоставлении места в ДОУ в текущем учебном году (с 1 сентября текущего календарного года) (актуальный спрос) и в последующие годы (отложенный спрос);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обновление реестра с учетом предоставления детям мест в ДОУ;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списка «очередников» из числа детей, нуждающихся в предоставлении места в ДОУ в текущем учебном году, но таким местом не обеспеченные на дату начала учебного года (1 сентября текущего учебного года).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</w:t>
      </w:r>
      <w:proofErr w:type="gramStart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End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желательное(</w:t>
      </w:r>
      <w:proofErr w:type="spellStart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ые</w:t>
      </w:r>
      <w:proofErr w:type="spellEnd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отдельный ЕИР для муниципальной или региональной медико-психолого-педагогической комиссии (далее - ПМПК).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регистрации заявления в ЕИР ребенок направляется на обследование в муниципальную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</w:t>
      </w: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 содержит информацию: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регистрационном номере заявления о постановке на учет;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 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ДОУ).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 году и в последующие годы в соответствии с датой постановки на учет и с учетом права на предоставление места в ДОУ в первоочередном порядке.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Список детей, нуждающихся в предоставлении места в ДОУ с 1 сентября текущего календарного 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 года для предоставления ребенку места с 1 сентября календарного года). После установленной даты в список детей, нуждающихся в предоставлении места в дошкольном учреждении с 1 сентября текущего календарного года, могут быть дополнительно включены только дети, имеющие право первоочередного (внеочередного) приема в ДОУ.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 ДОУ необходимо предоставить с 1 сентября следующего календарного года.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Родители (законные представители) имеют право в срок до установленной учредителем даты (например, до 1 июня 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ранее выбранный год поступления ребенка в ДОУ;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выбранные ранее учреждения;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изменить сведения о льготе;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изменить данные о ребенке (смена фамилии, имени, отчества, адреса).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Дети, родители (законные представители) которых имеют право на внеочередное зачисление ребенка в учреждение: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прокуроров (Федеральный закон от 17 января 1992 г. № 2202-1 «О прокуратуре Российской Федерации»);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судей (Закон Российской Федерации от 26 июня 1992 г. № 3132-1 «О статусе судей в Российской Федерации»);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Дети, родители (законные представители) которых имеют право на первоочередное зачисление ребенка в учреждение: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 полиции (Федеральный закон от 7 февраля 2011 г. № 3-ФЗ «О полиции»);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 г. Пр-1227).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B3083F" w:rsidRPr="00B3083F" w:rsidRDefault="00B3083F" w:rsidP="00B3083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308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Рекомендации по порядку комплектования ДОУ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Нумерация пунктов приводится в соответствии с источником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</w:t>
      </w:r>
      <w:hyperlink r:id="rId5" w:anchor="1111" w:history="1">
        <w:r w:rsidRPr="00B3083F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*</w:t>
        </w:r>
      </w:hyperlink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 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 года.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 остальное время производится комплектование ДОУ на свободные (освободившиеся, вновь созданные) места.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Если в процессе комплектования места в ДОУ предоставляются не всем детям, состоящим на учете для предоставления места с 1 сентября текущего 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 года либо учитываются в списке нуждающихся в месте в ДОУ с 1 сентября следующего календарного года.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Учредитель систематически (не реже одного раза в месяц) в течение календарного года обобщает и анализирует через ЕИР сведения о наличии в ДОУ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 году.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из предложенных.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 год с сохранением даты постановки на учет. Информация об изменении желаемой даты поступления ребенка размещается в личном кабинете на Портале.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В случае, если органы местного самоуправления не могут обеспечить местом в ДОУ ребенка из списка поставленных на учет с 1 сентября текущего 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этом ребенок числится в списке очередников и не снимается с учета для предос</w:t>
      </w:r>
      <w:bookmarkStart w:id="1" w:name="_GoBack"/>
      <w:bookmarkEnd w:id="1"/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тавления места. Ему должно быть предоставлено свободное (освободившееся или вновь созданное место) в текущем учебном году либо место в ДОУ с 1 сентября следующего года.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Если в процессе комплектования места предоставлены всем детям из поименного списка нуждающихся в местах в ДОУ в текущем учебном году, свободные места могут быть предоставлены детям, числящимся в поименном списке поставленных на учет для предоставления места в следующем году.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Учредитель извещает родителей (законных представителей) детей: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времени предоставления ребенку места в ДОУ;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 и о сроках приема руководителем ДОУ указанных документов.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Пункт 25 Типового положения о дошкольном образовательном учреждении, утвержденного приказом Министерства образования и науки Российской Федерации от 27 октября 2011 г. № 2562 (зарегистрировано в Министерстве юстиции Российской Федерации 18 января 2012 г., регистрационный № 22946) («Российская газета», 2012, № 15)</w:t>
      </w:r>
    </w:p>
    <w:p w:rsidR="00B3083F" w:rsidRPr="00B3083F" w:rsidRDefault="00B3083F" w:rsidP="00B3083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B3083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3083F" w:rsidRPr="00B3083F" w:rsidRDefault="00B3083F" w:rsidP="00B3083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Разъяснен порядок комплектования дошкольных образовательных учреждений (ДОУ).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Даны рекомендации по учету детей. Цель - обеспечить "прозрачность" процедуры приема в ДОУ. Составляется поименный список (реестр) детей, нуждающихся в предоставлении места. Он систематически обновляется. Формируется список "очередников" из числа не попавших в ДОУ детей в текущем учебном году.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ведется через единый информационный ресурс (ЕИР), созданный в муниципальном районе (городском округе) или в регионе. Родители (законные представители) заполняют интерактивную форму заявления. ЕИР предлагает определенные учреждения. Из них можно выбрать три.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Учитываются дети с ограниченными возможностями здоровья. Создается отдельный ЕИР для муниципальной или региональной медико-психолого-педагогической комиссии (ПМПК). После регистрации заявления в ЕИР ребенок направляется на обследование в ПМПК, которая принимает решение о необходимости предоставить место в дошкольном учреждении или дошкольной группе компенсирующей, комбинированной или оздоровительной направленности.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Родителям (законным представителям) детей, подавшим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ДОУ. Раскрывается его содержание.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Перечислены категории лиц, которые имеют право на внеочередное зачисление в ДОУ. Следует учитывать, что количество мест для льготников не может превышать число мест для остальных.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комплектуется ежегодно с 1 июня по 1 сентября текущего календарного года. При наличии освободившихся мест - в иное время.</w:t>
      </w:r>
    </w:p>
    <w:p w:rsidR="00B3083F" w:rsidRPr="00B3083F" w:rsidRDefault="00B3083F" w:rsidP="00B3083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в выбранных родителями ДОУ отсутствуют места, то предлагаются иные. Они должны находиться рядом с местом проживания ребенка.</w:t>
      </w:r>
    </w:p>
    <w:p w:rsidR="002C112F" w:rsidRDefault="00B3083F" w:rsidP="00B3083F">
      <w:r w:rsidRPr="00B30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3"/>
    <w:rsid w:val="00182603"/>
    <w:rsid w:val="002C112F"/>
    <w:rsid w:val="00B3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7858-1111-47AA-9E88-E69FA6C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88790/" TargetMode="External"/><Relationship Id="rId4" Type="http://schemas.openxmlformats.org/officeDocument/2006/relationships/hyperlink" Target="http://www.garant.ru/products/ipo/prime/doc/703887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2017-03-30T11:21:00Z</dcterms:created>
  <dcterms:modified xsi:type="dcterms:W3CDTF">2017-03-30T11:21:00Z</dcterms:modified>
</cp:coreProperties>
</file>